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8C3" w:rsidRDefault="00FF78C3" w:rsidP="00FF78C3">
      <w:pPr>
        <w:pStyle w:val="Title"/>
        <w:rPr>
          <w:caps/>
        </w:rPr>
      </w:pPr>
      <w:r>
        <w:rPr>
          <w:caps/>
        </w:rPr>
        <w:t xml:space="preserve">RISK ASSESSMENT - iwas - TENBURY </w:t>
      </w:r>
    </w:p>
    <w:p w:rsidR="00FF78C3" w:rsidRDefault="00FF78C3" w:rsidP="00FF78C3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3060"/>
        <w:gridCol w:w="1080"/>
        <w:gridCol w:w="1440"/>
        <w:gridCol w:w="1080"/>
        <w:gridCol w:w="4706"/>
      </w:tblGrid>
      <w:tr w:rsidR="00FF78C3" w:rsidRPr="00091FCE" w:rsidTr="00FC0463">
        <w:trPr>
          <w:tblHeader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</w:tcBorders>
            <w:shd w:val="clear" w:color="auto" w:fill="A6A6A6"/>
          </w:tcPr>
          <w:p w:rsidR="00FF78C3" w:rsidRPr="00091FCE" w:rsidRDefault="00FF78C3" w:rsidP="00FC0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Description of Activity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shd w:val="clear" w:color="auto" w:fill="A6A6A6"/>
          </w:tcPr>
          <w:p w:rsidR="00FF78C3" w:rsidRPr="00091FCE" w:rsidRDefault="00FF78C3" w:rsidP="00FC0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Potential Hazards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6A6A6"/>
          </w:tcPr>
          <w:p w:rsidR="00FF78C3" w:rsidRPr="00091FCE" w:rsidRDefault="00FF78C3" w:rsidP="00FC0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6A6A6"/>
          </w:tcPr>
          <w:p w:rsidR="00FF78C3" w:rsidRPr="00091FCE" w:rsidRDefault="00FF78C3" w:rsidP="00FC0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Probability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6A6A6"/>
          </w:tcPr>
          <w:p w:rsidR="00FF78C3" w:rsidRPr="00091FCE" w:rsidRDefault="00FF78C3" w:rsidP="00FC0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Risk Rating</w:t>
            </w:r>
          </w:p>
        </w:tc>
        <w:tc>
          <w:tcPr>
            <w:tcW w:w="4706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</w:tcPr>
          <w:p w:rsidR="00FF78C3" w:rsidRPr="00091FCE" w:rsidRDefault="00FF78C3" w:rsidP="00FC0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91FCE">
              <w:rPr>
                <w:b/>
                <w:bCs/>
                <w:sz w:val="20"/>
                <w:szCs w:val="20"/>
              </w:rPr>
              <w:t>Control Measures in Place</w:t>
            </w:r>
          </w:p>
        </w:tc>
      </w:tr>
      <w:tr w:rsidR="00FF78C3" w:rsidRPr="00091FCE" w:rsidTr="00FC0463">
        <w:tc>
          <w:tcPr>
            <w:tcW w:w="2808" w:type="dxa"/>
            <w:tcBorders>
              <w:left w:val="double" w:sz="4" w:space="0" w:color="auto"/>
            </w:tcBorders>
          </w:tcPr>
          <w:p w:rsidR="00FF78C3" w:rsidRDefault="00FF78C3" w:rsidP="00FC0463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 xml:space="preserve">Access to </w:t>
            </w:r>
            <w:r>
              <w:rPr>
                <w:sz w:val="20"/>
                <w:szCs w:val="20"/>
              </w:rPr>
              <w:t>Riverside</w:t>
            </w:r>
          </w:p>
        </w:tc>
        <w:tc>
          <w:tcPr>
            <w:tcW w:w="3060" w:type="dxa"/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 mixed use car park, on foot or with single vehicle and trailer, across field.</w:t>
            </w:r>
          </w:p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 w:rsidRPr="00112ED9">
              <w:rPr>
                <w:sz w:val="20"/>
                <w:szCs w:val="20"/>
              </w:rPr>
              <w:t>Uneven ground, risk of falls.</w:t>
            </w:r>
          </w:p>
        </w:tc>
        <w:tc>
          <w:tcPr>
            <w:tcW w:w="108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6" w:type="dxa"/>
            <w:tcBorders>
              <w:right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appropriate caution when standing, walking, parking or manoeuvring in yard area.  Beware of hazards and uneven ground when driving across field.</w:t>
            </w: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rPr>
                <w:sz w:val="20"/>
                <w:szCs w:val="20"/>
              </w:rPr>
            </w:pPr>
            <w:r w:rsidRPr="00112ED9">
              <w:rPr>
                <w:sz w:val="20"/>
                <w:szCs w:val="20"/>
              </w:rPr>
              <w:t>Look where walking and wear appropriate footwear</w:t>
            </w:r>
            <w:r>
              <w:rPr>
                <w:sz w:val="20"/>
                <w:szCs w:val="20"/>
              </w:rPr>
              <w:t>.</w:t>
            </w: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</w:tc>
      </w:tr>
      <w:tr w:rsidR="00FF78C3" w:rsidRPr="00091FCE" w:rsidTr="00FC0463">
        <w:tc>
          <w:tcPr>
            <w:tcW w:w="2808" w:type="dxa"/>
            <w:tcBorders>
              <w:left w:val="double" w:sz="4" w:space="0" w:color="auto"/>
            </w:tcBorders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Banks</w:t>
            </w:r>
          </w:p>
        </w:tc>
        <w:tc>
          <w:tcPr>
            <w:tcW w:w="3060" w:type="dxa"/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112ED9" w:rsidRDefault="00FF78C3" w:rsidP="00FC0463">
            <w:pPr>
              <w:rPr>
                <w:sz w:val="20"/>
                <w:szCs w:val="20"/>
              </w:rPr>
            </w:pPr>
            <w:r w:rsidRPr="00112ED9">
              <w:rPr>
                <w:sz w:val="20"/>
                <w:szCs w:val="20"/>
              </w:rPr>
              <w:t>Banks may be slippery or crumble leading to fall into water and risk of drowning. Caution on areas of high erosion.</w:t>
            </w:r>
          </w:p>
          <w:p w:rsidR="00FF78C3" w:rsidRPr="00112ED9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 w:rsidRPr="00112ED9">
              <w:rPr>
                <w:sz w:val="20"/>
                <w:szCs w:val="20"/>
              </w:rPr>
              <w:t>Uneven ground, risk of falls.</w:t>
            </w:r>
          </w:p>
        </w:tc>
        <w:tc>
          <w:tcPr>
            <w:tcW w:w="108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Pr="00091FCE" w:rsidRDefault="00943EAF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3</w:t>
            </w: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943EAF">
            <w:pPr>
              <w:jc w:val="center"/>
              <w:rPr>
                <w:sz w:val="20"/>
                <w:szCs w:val="20"/>
              </w:rPr>
            </w:pPr>
          </w:p>
          <w:p w:rsidR="00943EAF" w:rsidRPr="00091FCE" w:rsidRDefault="00943EAF" w:rsidP="00943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Default="00943EAF" w:rsidP="00FC0463">
            <w:pPr>
              <w:jc w:val="center"/>
              <w:rPr>
                <w:sz w:val="20"/>
                <w:szCs w:val="20"/>
              </w:rPr>
            </w:pPr>
          </w:p>
          <w:p w:rsidR="00943EAF" w:rsidRPr="00091FCE" w:rsidRDefault="00943EAF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06" w:type="dxa"/>
            <w:tcBorders>
              <w:right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112ED9" w:rsidRDefault="00FF78C3" w:rsidP="00FC0463">
            <w:pPr>
              <w:jc w:val="center"/>
              <w:rPr>
                <w:sz w:val="20"/>
                <w:szCs w:val="20"/>
              </w:rPr>
            </w:pPr>
            <w:r w:rsidRPr="00112ED9">
              <w:rPr>
                <w:sz w:val="20"/>
                <w:szCs w:val="20"/>
              </w:rPr>
              <w:t>Check bank for signs of slip or undercut.  Exercise caution when ascend</w:t>
            </w:r>
            <w:r>
              <w:rPr>
                <w:sz w:val="20"/>
                <w:szCs w:val="20"/>
              </w:rPr>
              <w:t xml:space="preserve">ing or descending banks.  </w:t>
            </w:r>
          </w:p>
          <w:p w:rsidR="00FF78C3" w:rsidRPr="00112ED9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112ED9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 w:rsidRPr="00112ED9">
              <w:rPr>
                <w:sz w:val="20"/>
                <w:szCs w:val="20"/>
              </w:rPr>
              <w:t>Look where walking and wear appropriate footwear</w:t>
            </w:r>
            <w:r>
              <w:rPr>
                <w:sz w:val="20"/>
                <w:szCs w:val="20"/>
              </w:rPr>
              <w:t>.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</w:tr>
      <w:tr w:rsidR="00FF78C3" w:rsidRPr="00091FCE" w:rsidTr="00FC0463">
        <w:tc>
          <w:tcPr>
            <w:tcW w:w="2808" w:type="dxa"/>
            <w:tcBorders>
              <w:left w:val="double" w:sz="4" w:space="0" w:color="auto"/>
            </w:tcBorders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Riverside Working</w:t>
            </w:r>
            <w:r w:rsidR="001E1206">
              <w:rPr>
                <w:sz w:val="20"/>
                <w:szCs w:val="20"/>
              </w:rPr>
              <w:t xml:space="preserve"> &amp; Angling</w:t>
            </w:r>
          </w:p>
        </w:tc>
        <w:tc>
          <w:tcPr>
            <w:tcW w:w="3060" w:type="dxa"/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injury from tangled vegetation, low branches and fallen trees.</w:t>
            </w:r>
          </w:p>
          <w:p w:rsidR="001E1206" w:rsidRDefault="001E1206" w:rsidP="00FC0463">
            <w:pPr>
              <w:rPr>
                <w:sz w:val="20"/>
                <w:szCs w:val="20"/>
              </w:rPr>
            </w:pPr>
          </w:p>
          <w:p w:rsidR="001E1206" w:rsidRPr="00091FCE" w:rsidRDefault="001E1206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Casting of lines with weights or fly, risk of injury from tackle</w:t>
            </w: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of electrocution – overhead power lines and lightning</w:t>
            </w:r>
            <w:r w:rsidRPr="00091FCE">
              <w:rPr>
                <w:sz w:val="20"/>
                <w:szCs w:val="20"/>
              </w:rPr>
              <w:t>.</w:t>
            </w: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Wading, not envisaged, although</w:t>
            </w:r>
            <w:r w:rsidRPr="00091FCE">
              <w:rPr>
                <w:sz w:val="20"/>
                <w:szCs w:val="20"/>
              </w:rPr>
              <w:t xml:space="preserve"> risk of drowning</w:t>
            </w:r>
            <w:r>
              <w:rPr>
                <w:sz w:val="20"/>
                <w:szCs w:val="20"/>
              </w:rPr>
              <w:t>.</w:t>
            </w: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Hygiene – risk of leptospirosis</w:t>
            </w: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Risk of drowning from falling 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2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6" w:type="dxa"/>
            <w:tcBorders>
              <w:right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Appr</w:t>
            </w:r>
            <w:r>
              <w:rPr>
                <w:sz w:val="20"/>
                <w:szCs w:val="20"/>
              </w:rPr>
              <w:t>opriate headgear should be worn, hat and eye protection</w:t>
            </w:r>
            <w:r w:rsidRPr="00091FCE">
              <w:rPr>
                <w:sz w:val="20"/>
                <w:szCs w:val="20"/>
              </w:rPr>
              <w:t>.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1E1206" w:rsidRDefault="001E1206" w:rsidP="001E1206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Appr</w:t>
            </w:r>
            <w:r>
              <w:rPr>
                <w:sz w:val="20"/>
                <w:szCs w:val="20"/>
              </w:rPr>
              <w:t>opriate headgear should be worn, hat and eye protection</w:t>
            </w:r>
            <w:r w:rsidRPr="00091FCE">
              <w:rPr>
                <w:sz w:val="20"/>
                <w:szCs w:val="20"/>
              </w:rPr>
              <w:t>.</w:t>
            </w:r>
          </w:p>
          <w:p w:rsidR="001E1206" w:rsidRDefault="001E1206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1E1206" w:rsidP="001E12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F78C3">
              <w:rPr>
                <w:sz w:val="20"/>
                <w:szCs w:val="20"/>
              </w:rPr>
              <w:t>Do not work</w:t>
            </w:r>
            <w:r w:rsidR="00FF78C3" w:rsidRPr="00091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 fish </w:t>
            </w:r>
            <w:r w:rsidR="00FF78C3" w:rsidRPr="00091FCE">
              <w:rPr>
                <w:sz w:val="20"/>
                <w:szCs w:val="20"/>
              </w:rPr>
              <w:t>underneath or near power lines.</w:t>
            </w:r>
            <w:r w:rsidR="00FF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FF78C3">
              <w:rPr>
                <w:sz w:val="20"/>
                <w:szCs w:val="20"/>
              </w:rPr>
              <w:t>Do not work</w:t>
            </w:r>
            <w:r>
              <w:rPr>
                <w:sz w:val="20"/>
                <w:szCs w:val="20"/>
              </w:rPr>
              <w:t xml:space="preserve"> or fish</w:t>
            </w:r>
            <w:r w:rsidR="00FF78C3">
              <w:rPr>
                <w:sz w:val="20"/>
                <w:szCs w:val="20"/>
              </w:rPr>
              <w:t xml:space="preserve"> in thunderstorms.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 xml:space="preserve">Wear appropriate flotation device, use suitably soled </w:t>
            </w:r>
            <w:r>
              <w:rPr>
                <w:sz w:val="20"/>
                <w:szCs w:val="20"/>
              </w:rPr>
              <w:t>waders or footwear.  Wading should be avoided.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Cover any cuts, sores or scratches with waterproof plasters or gloves; disinfect any wounds that oc</w:t>
            </w:r>
            <w:r>
              <w:rPr>
                <w:sz w:val="20"/>
                <w:szCs w:val="20"/>
              </w:rPr>
              <w:t xml:space="preserve">cur at the waterside; wash </w:t>
            </w:r>
            <w:r w:rsidRPr="00091FCE">
              <w:rPr>
                <w:sz w:val="20"/>
                <w:szCs w:val="20"/>
              </w:rPr>
              <w:t>hand</w:t>
            </w:r>
            <w:r>
              <w:rPr>
                <w:sz w:val="20"/>
                <w:szCs w:val="20"/>
              </w:rPr>
              <w:t xml:space="preserve">s or cover food with </w:t>
            </w:r>
            <w:r w:rsidRPr="00091FCE">
              <w:rPr>
                <w:sz w:val="20"/>
                <w:szCs w:val="20"/>
              </w:rPr>
              <w:t>wrapper</w:t>
            </w:r>
            <w:r>
              <w:rPr>
                <w:sz w:val="20"/>
                <w:szCs w:val="20"/>
              </w:rPr>
              <w:t xml:space="preserve">s before eating; do not put </w:t>
            </w:r>
            <w:r w:rsidRPr="00091FCE">
              <w:rPr>
                <w:sz w:val="20"/>
                <w:szCs w:val="20"/>
              </w:rPr>
              <w:t>hand</w:t>
            </w:r>
            <w:r>
              <w:rPr>
                <w:sz w:val="20"/>
                <w:szCs w:val="20"/>
              </w:rPr>
              <w:t xml:space="preserve">s in </w:t>
            </w:r>
            <w:r w:rsidRPr="00091FCE">
              <w:rPr>
                <w:sz w:val="20"/>
                <w:szCs w:val="20"/>
              </w:rPr>
              <w:t>mouth after immer</w:t>
            </w:r>
            <w:r>
              <w:rPr>
                <w:sz w:val="20"/>
                <w:szCs w:val="20"/>
              </w:rPr>
              <w:t>sing in water</w:t>
            </w:r>
            <w:r w:rsidRPr="00091FCE">
              <w:rPr>
                <w:sz w:val="20"/>
                <w:szCs w:val="20"/>
              </w:rPr>
              <w:t>; do not touch dead animals.</w:t>
            </w:r>
            <w:r>
              <w:rPr>
                <w:sz w:val="20"/>
                <w:szCs w:val="20"/>
              </w:rPr>
              <w:t xml:space="preserve"> If flu like symptom</w:t>
            </w:r>
            <w:r w:rsidRPr="00091FCE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 xml:space="preserve">develop </w:t>
            </w:r>
            <w:r w:rsidRPr="00091FC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hat persist take medical advice</w:t>
            </w:r>
            <w:r w:rsidRPr="00091F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explaining </w:t>
            </w:r>
            <w:r w:rsidRPr="00091FCE">
              <w:rPr>
                <w:sz w:val="20"/>
                <w:szCs w:val="20"/>
              </w:rPr>
              <w:t>that you may have b</w:t>
            </w:r>
            <w:r>
              <w:rPr>
                <w:sz w:val="20"/>
                <w:szCs w:val="20"/>
              </w:rPr>
              <w:t xml:space="preserve">een </w:t>
            </w:r>
            <w:r w:rsidRPr="00091FCE">
              <w:rPr>
                <w:sz w:val="20"/>
                <w:szCs w:val="20"/>
              </w:rPr>
              <w:t>exposed to l</w:t>
            </w:r>
            <w:r>
              <w:rPr>
                <w:sz w:val="20"/>
                <w:szCs w:val="20"/>
              </w:rPr>
              <w:t xml:space="preserve">eptospirosis so that such can be </w:t>
            </w:r>
            <w:r w:rsidRPr="00091FCE">
              <w:rPr>
                <w:sz w:val="20"/>
                <w:szCs w:val="20"/>
              </w:rPr>
              <w:t>consider</w:t>
            </w:r>
            <w:r>
              <w:rPr>
                <w:sz w:val="20"/>
                <w:szCs w:val="20"/>
              </w:rPr>
              <w:t xml:space="preserve">ed </w:t>
            </w:r>
            <w:r w:rsidRPr="00091FCE">
              <w:rPr>
                <w:sz w:val="20"/>
                <w:szCs w:val="20"/>
              </w:rPr>
              <w:t xml:space="preserve">in the diagnosis. </w:t>
            </w: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Wear appropriate flotation device.</w:t>
            </w:r>
          </w:p>
        </w:tc>
      </w:tr>
      <w:tr w:rsidR="00FF78C3" w:rsidRPr="00091FCE" w:rsidTr="00FC0463">
        <w:trPr>
          <w:cantSplit/>
          <w:trHeight w:val="764"/>
        </w:trPr>
        <w:tc>
          <w:tcPr>
            <w:tcW w:w="2808" w:type="dxa"/>
            <w:tcBorders>
              <w:left w:val="double" w:sz="4" w:space="0" w:color="auto"/>
              <w:bottom w:val="double" w:sz="4" w:space="0" w:color="auto"/>
            </w:tcBorders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</w:t>
            </w:r>
            <w:r w:rsidR="001E1206">
              <w:rPr>
                <w:sz w:val="20"/>
                <w:szCs w:val="20"/>
              </w:rPr>
              <w:t xml:space="preserve">or Fishing </w:t>
            </w:r>
            <w:r>
              <w:rPr>
                <w:sz w:val="20"/>
                <w:szCs w:val="20"/>
              </w:rPr>
              <w:t>A</w:t>
            </w:r>
            <w:r w:rsidRPr="00091FCE">
              <w:rPr>
                <w:sz w:val="20"/>
                <w:szCs w:val="20"/>
              </w:rPr>
              <w:t>lone</w:t>
            </w:r>
          </w:p>
        </w:tc>
        <w:tc>
          <w:tcPr>
            <w:tcW w:w="3060" w:type="dxa"/>
            <w:tcBorders>
              <w:bottom w:val="double" w:sz="4" w:space="0" w:color="auto"/>
            </w:tcBorders>
          </w:tcPr>
          <w:p w:rsidR="00FF78C3" w:rsidRDefault="00FF78C3" w:rsidP="00FC0463">
            <w:pPr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 xml:space="preserve">No immediate assistance if any of the above occur  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5</w:t>
            </w:r>
          </w:p>
        </w:tc>
        <w:tc>
          <w:tcPr>
            <w:tcW w:w="4706" w:type="dxa"/>
            <w:tcBorders>
              <w:bottom w:val="double" w:sz="4" w:space="0" w:color="auto"/>
              <w:right w:val="double" w:sz="4" w:space="0" w:color="auto"/>
            </w:tcBorders>
          </w:tcPr>
          <w:p w:rsidR="00FF78C3" w:rsidRDefault="00FF78C3" w:rsidP="00FC0463">
            <w:pPr>
              <w:jc w:val="center"/>
              <w:rPr>
                <w:sz w:val="20"/>
                <w:szCs w:val="20"/>
              </w:rPr>
            </w:pPr>
          </w:p>
          <w:p w:rsidR="00FF78C3" w:rsidRPr="00091FCE" w:rsidRDefault="00FF78C3" w:rsidP="00FC0463">
            <w:pPr>
              <w:jc w:val="center"/>
              <w:rPr>
                <w:sz w:val="20"/>
                <w:szCs w:val="20"/>
              </w:rPr>
            </w:pPr>
            <w:r w:rsidRPr="00091FCE">
              <w:rPr>
                <w:sz w:val="20"/>
                <w:szCs w:val="20"/>
              </w:rPr>
              <w:t>Carry mobile phone, carry whistle. Let</w:t>
            </w:r>
            <w:r>
              <w:rPr>
                <w:sz w:val="20"/>
                <w:szCs w:val="20"/>
              </w:rPr>
              <w:t xml:space="preserve"> someone know where working</w:t>
            </w:r>
            <w:r w:rsidR="001E1206">
              <w:rPr>
                <w:sz w:val="20"/>
                <w:szCs w:val="20"/>
              </w:rPr>
              <w:t>/fishing</w:t>
            </w:r>
            <w:r>
              <w:rPr>
                <w:sz w:val="20"/>
                <w:szCs w:val="20"/>
              </w:rPr>
              <w:t xml:space="preserve"> and anticipated </w:t>
            </w:r>
            <w:r w:rsidRPr="00091FCE">
              <w:rPr>
                <w:sz w:val="20"/>
                <w:szCs w:val="20"/>
              </w:rPr>
              <w:t>return.</w:t>
            </w:r>
            <w:r>
              <w:rPr>
                <w:sz w:val="20"/>
                <w:szCs w:val="20"/>
              </w:rPr>
              <w:t xml:space="preserve">  Working alone to be avoided.</w:t>
            </w:r>
          </w:p>
        </w:tc>
      </w:tr>
    </w:tbl>
    <w:p w:rsidR="00FF78C3" w:rsidRPr="00091FCE" w:rsidRDefault="00FF78C3" w:rsidP="00FF78C3">
      <w:pPr>
        <w:rPr>
          <w:sz w:val="20"/>
          <w:szCs w:val="20"/>
        </w:rPr>
      </w:pPr>
    </w:p>
    <w:p w:rsidR="00FF78C3" w:rsidRPr="00091FCE" w:rsidRDefault="00FF78C3" w:rsidP="00FF78C3">
      <w:pPr>
        <w:rPr>
          <w:sz w:val="20"/>
          <w:szCs w:val="20"/>
        </w:rPr>
      </w:pPr>
      <w:r w:rsidRPr="00091FCE">
        <w:rPr>
          <w:sz w:val="20"/>
          <w:szCs w:val="20"/>
        </w:rPr>
        <w:t>Severity:</w:t>
      </w:r>
      <w:r w:rsidRPr="00091FCE">
        <w:rPr>
          <w:sz w:val="20"/>
          <w:szCs w:val="20"/>
        </w:rPr>
        <w:tab/>
        <w:t>1 – Nil -</w:t>
      </w:r>
      <w:r>
        <w:rPr>
          <w:sz w:val="20"/>
          <w:szCs w:val="20"/>
        </w:rPr>
        <w:t xml:space="preserve"> No risk of injury or disease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Probability:</w:t>
      </w:r>
      <w:r w:rsidRPr="00091FCE">
        <w:rPr>
          <w:sz w:val="20"/>
          <w:szCs w:val="20"/>
        </w:rPr>
        <w:tab/>
        <w:t>1- Improbable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Risk rating:</w:t>
      </w:r>
      <w:r w:rsidRPr="00091FCE">
        <w:rPr>
          <w:sz w:val="20"/>
          <w:szCs w:val="20"/>
        </w:rPr>
        <w:tab/>
        <w:t>1 – 10    Low</w:t>
      </w:r>
    </w:p>
    <w:p w:rsidR="00FF78C3" w:rsidRPr="00091FCE" w:rsidRDefault="00FF78C3" w:rsidP="00FF78C3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2 - Low -</w:t>
      </w:r>
      <w:r>
        <w:rPr>
          <w:sz w:val="20"/>
          <w:szCs w:val="20"/>
        </w:rPr>
        <w:t xml:space="preserve"> Minor injury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 – Remote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11 – 15  Medium</w:t>
      </w:r>
    </w:p>
    <w:p w:rsidR="00FF78C3" w:rsidRPr="00091FCE" w:rsidRDefault="00FF78C3" w:rsidP="00FF78C3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3 – Medium – 3 day injury under RIDDOR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3 – Possible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1FCE">
        <w:rPr>
          <w:sz w:val="20"/>
          <w:szCs w:val="20"/>
        </w:rPr>
        <w:t>16 – 25  High</w:t>
      </w:r>
    </w:p>
    <w:p w:rsidR="00FF78C3" w:rsidRPr="00091FCE" w:rsidRDefault="00FF78C3" w:rsidP="00FF78C3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4 – Major – major injury under RIDDOR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4 - Probable</w:t>
      </w:r>
    </w:p>
    <w:p w:rsidR="00FF78C3" w:rsidRPr="00091FCE" w:rsidRDefault="00FF78C3" w:rsidP="00FF78C3">
      <w:pPr>
        <w:rPr>
          <w:sz w:val="20"/>
          <w:szCs w:val="20"/>
        </w:rPr>
      </w:pP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5 – High - Fatality</w:t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</w:r>
      <w:r w:rsidRPr="00091FCE">
        <w:rPr>
          <w:sz w:val="20"/>
          <w:szCs w:val="20"/>
        </w:rPr>
        <w:tab/>
        <w:t>5 – Likely</w:t>
      </w:r>
    </w:p>
    <w:p w:rsidR="00FF78C3" w:rsidRPr="00091FCE" w:rsidRDefault="00FF78C3" w:rsidP="00FF78C3">
      <w:pPr>
        <w:rPr>
          <w:sz w:val="20"/>
          <w:szCs w:val="20"/>
        </w:rPr>
      </w:pPr>
    </w:p>
    <w:p w:rsidR="00FF78C3" w:rsidRPr="00091FCE" w:rsidRDefault="00FF78C3" w:rsidP="00FF78C3">
      <w:pPr>
        <w:rPr>
          <w:sz w:val="20"/>
          <w:szCs w:val="20"/>
        </w:rPr>
      </w:pPr>
    </w:p>
    <w:p w:rsidR="00FF78C3" w:rsidRDefault="00FF78C3" w:rsidP="00FF78C3"/>
    <w:p w:rsidR="000C5C4B" w:rsidRDefault="000C5C4B"/>
    <w:sectPr w:rsidR="000C5C4B" w:rsidSect="00FB7248">
      <w:headerReference w:type="default" r:id="rId6"/>
      <w:pgSz w:w="16838" w:h="11906" w:orient="landscape" w:code="9"/>
      <w:pgMar w:top="0" w:right="1440" w:bottom="2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149" w:rsidRDefault="00190149" w:rsidP="002D1504">
      <w:r>
        <w:separator/>
      </w:r>
    </w:p>
  </w:endnote>
  <w:endnote w:type="continuationSeparator" w:id="1">
    <w:p w:rsidR="00190149" w:rsidRDefault="00190149" w:rsidP="002D1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149" w:rsidRDefault="00190149" w:rsidP="002D1504">
      <w:r>
        <w:separator/>
      </w:r>
    </w:p>
  </w:footnote>
  <w:footnote w:type="continuationSeparator" w:id="1">
    <w:p w:rsidR="00190149" w:rsidRDefault="00190149" w:rsidP="002D1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FA8" w:rsidRDefault="00190149">
    <w:pPr>
      <w:pStyle w:val="Header"/>
      <w:jc w:val="center"/>
      <w:rPr>
        <w:b/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8C3"/>
    <w:rsid w:val="000C5C4B"/>
    <w:rsid w:val="00190149"/>
    <w:rsid w:val="001E1206"/>
    <w:rsid w:val="002D1504"/>
    <w:rsid w:val="00491650"/>
    <w:rsid w:val="00524FDD"/>
    <w:rsid w:val="00943EAF"/>
    <w:rsid w:val="00990C8F"/>
    <w:rsid w:val="00C51B11"/>
    <w:rsid w:val="00E777F4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78C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F78C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FF78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78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2242</Characters>
  <Application>Microsoft Office Word</Application>
  <DocSecurity>0</DocSecurity>
  <Lines>18</Lines>
  <Paragraphs>5</Paragraphs>
  <ScaleCrop>false</ScaleCrop>
  <Company>Grizli777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User</cp:lastModifiedBy>
  <cp:revision>2</cp:revision>
  <dcterms:created xsi:type="dcterms:W3CDTF">2021-04-05T17:37:00Z</dcterms:created>
  <dcterms:modified xsi:type="dcterms:W3CDTF">2021-04-05T17:37:00Z</dcterms:modified>
</cp:coreProperties>
</file>